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_x0000_s1026" style="position:absolute;left:0;text-align:left;margin-left:-51.05pt;margin-top:26.35pt;width:515.1pt;height:355.85pt;z-index:251658240;mso-position-horizontal:absolute;mso-position-vertical:absolute;mso-position-horizontal-relative:margin;mso-position-vertical-relative:text;" arcsize="10923f">
            <v:textbox>
              <w:txbxContent>
                <w:p w:rsidR="00E10EE4" w:rsidDel="00000000" w:rsidP="00E10EE4" w:rsidRDefault="00E10EE4" w:rsidRPr="00E10EE4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32"/>
                      <w:szCs w:val="32"/>
                      <w:u w:val="single"/>
                      <w:rtl w:val="1"/>
                      <w:lang w:bidi="ar-EG"/>
                    </w:rPr>
                  </w:pPr>
                </w:p>
                <w:p w:rsidR="00346765" w:rsidDel="00000000" w:rsidP="00E10EE4" w:rsidRDefault="00346765" w:rsidRPr="00000000">
                  <w:pPr>
                    <w:spacing w:line="240" w:lineRule="auto"/>
                    <w:ind w:right="-851"/>
                    <w:jc w:val="center"/>
                    <w:rPr>
                      <w:rFonts w:ascii="Calibri" w:cs="Arial" w:eastAsia="Calibri" w:hAnsi="Calibri"/>
                      <w:b w:val="1"/>
                      <w:bCs w:val="1"/>
                      <w:sz w:val="96"/>
                      <w:szCs w:val="96"/>
                      <w:rtl w:val="1"/>
                      <w:lang w:bidi="ar-EG"/>
                    </w:rPr>
                  </w:pPr>
                  <w:r w:rsidDel="00000000" w:rsidR="00000000" w:rsidRPr="00346765">
                    <w:rPr>
                      <w:rFonts w:ascii="Calibri" w:cs="Arial" w:eastAsia="Calibri" w:hAnsi="Calibri" w:hint="cs"/>
                      <w:b w:val="1"/>
                      <w:bCs w:val="1"/>
                      <w:sz w:val="96"/>
                      <w:szCs w:val="96"/>
                      <w:rtl w:val="1"/>
                      <w:lang w:bidi="ar-EG"/>
                    </w:rPr>
                    <w:t xml:space="preserve">وثيقة معايير </w:t>
                  </w:r>
                </w:p>
                <w:p w:rsidR="00346765" w:rsidDel="00000000" w:rsidP="006D79ED" w:rsidRDefault="00346765" w:rsidRPr="00000000">
                  <w:pPr>
                    <w:spacing w:line="240" w:lineRule="auto"/>
                    <w:ind w:right="-851"/>
                    <w:jc w:val="center"/>
                    <w:rPr>
                      <w:rFonts w:ascii="Calibri" w:cs="Arial" w:eastAsia="Calibri" w:hAnsi="Calibri"/>
                      <w:b w:val="1"/>
                      <w:bCs w:val="1"/>
                      <w:sz w:val="96"/>
                      <w:szCs w:val="96"/>
                      <w:rtl w:val="1"/>
                      <w:lang w:bidi="ar-EG"/>
                    </w:rPr>
                  </w:pPr>
                  <w:r w:rsidDel="00000000" w:rsidR="00000000" w:rsidRPr="00346765">
                    <w:rPr>
                      <w:rFonts w:ascii="Calibri" w:cs="Arial" w:eastAsia="Calibri" w:hAnsi="Calibri" w:hint="cs"/>
                      <w:b w:val="1"/>
                      <w:bCs w:val="1"/>
                      <w:sz w:val="96"/>
                      <w:szCs w:val="96"/>
                      <w:rtl w:val="1"/>
                      <w:lang w:bidi="ar-EG"/>
                    </w:rPr>
                    <w:t xml:space="preserve">اختيار </w:t>
                  </w:r>
                  <w:bookmarkStart w:colFirst="0" w:colLast="0" w:name="_dl9n5pv6api6" w:id="0"/>
                  <w:bookmarkEnd w:id="0"/>
                  <w:r w:rsidDel="00000000" w:rsidR="00000000" w:rsidRPr="00346765">
                    <w:rPr>
                      <w:rFonts w:ascii="Calibri" w:cs="Arial" w:eastAsia="Calibri" w:hAnsi="Calibri" w:hint="cs"/>
                      <w:b w:val="1"/>
                      <w:bCs w:val="1"/>
                      <w:sz w:val="96"/>
                      <w:szCs w:val="96"/>
                      <w:rtl w:val="1"/>
                      <w:lang w:bidi="ar-EG"/>
                    </w:rPr>
                    <w:t xml:space="preserve">وترقية </w:t>
                  </w:r>
                </w:p>
                <w:p w:rsidR="00E10EE4" w:rsidDel="00000000" w:rsidP="00E10EE4" w:rsidRDefault="00346765" w:rsidRPr="00346765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72"/>
                      <w:szCs w:val="72"/>
                      <w:u w:val="single"/>
                      <w:rtl w:val="1"/>
                      <w:lang w:bidi="ar-EG"/>
                    </w:rPr>
                  </w:pPr>
                  <w:r w:rsidDel="00000000" w:rsidR="00000000" w:rsidRPr="00346765">
                    <w:rPr>
                      <w:rFonts w:ascii="Calibri" w:cs="Arial" w:eastAsia="Calibri" w:hAnsi="Calibri" w:hint="cs"/>
                      <w:b w:val="1"/>
                      <w:bCs w:val="1"/>
                      <w:sz w:val="96"/>
                      <w:szCs w:val="96"/>
                      <w:rtl w:val="1"/>
                      <w:lang w:bidi="ar-EG"/>
                    </w:rPr>
                    <w:t>القيادات الإدارية</w:t>
                  </w:r>
                </w:p>
                <w:p w:rsidR="00E10EE4" w:rsidDel="00000000" w:rsidP="00E10EE4" w:rsidRDefault="00E10EE4" w:rsidRPr="00E10EE4">
                  <w:pPr>
                    <w:spacing w:line="240" w:lineRule="auto"/>
                    <w:ind w:right="-851"/>
                    <w:jc w:val="center"/>
                    <w:rPr>
                      <w:rFonts w:asciiTheme="majorBidi" w:cstheme="majorBidi" w:hAnsiTheme="majorBidi"/>
                      <w:b w:val="1"/>
                      <w:bCs w:val="1"/>
                      <w:sz w:val="32"/>
                      <w:szCs w:val="32"/>
                      <w:rtl w:val="1"/>
                      <w:lang w:bidi="ar-EG"/>
                    </w:rPr>
                  </w:pPr>
                </w:p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05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40" w:lineRule="auto"/>
        <w:ind w:right="-85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وثيقة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وتعيين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وترقية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القيادات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1"/>
        </w:rPr>
        <w:t xml:space="preserve">الإدارية</w:t>
      </w:r>
    </w:p>
    <w:p w:rsidR="00000000" w:rsidDel="00000000" w:rsidP="00000000" w:rsidRDefault="00000000" w:rsidRPr="00000000" w14:paraId="00000018">
      <w:pPr>
        <w:bidi w:val="1"/>
        <w:jc w:val="both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المعايير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بموضوعيه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أساس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الكفاءه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تأدية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واجبات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الوظيفه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والمؤهلات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العلميه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والعمليه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والدورات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التدريبيه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يجتازها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ومدى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علاقته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بالزملاء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والرؤساء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إطار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والتعاون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المستمر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والبناء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للرقى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بالأداء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المستويات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المطلوبه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ويؤخذ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الإعتبار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المده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البينيه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اللازمه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للترقيه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للدرجه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الأعلى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المدد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تكسبه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للترقيه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للدرجه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الأعلى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أمين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B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قضي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مده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لاتقل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سنتين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الأولي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السياسات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والإدارية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إدارات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باللوائح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تحكم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التكامل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أنشطة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والإدارية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ميزانية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وإجراءات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الصرف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حدود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الاعتمادات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المخصصة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الأشراف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والتحليل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والمتابعة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يتمكن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قرارات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السلطة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المختصة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والأقسام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التنظيم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لوضع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القواعد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المنظمة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ادارات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اجتياز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مناسب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والتطور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التكنولوجي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ليساعده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يحقق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سرعة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انجاز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الإجراءات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بشئون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الدراسة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والإدارية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رفع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مستوي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بالوقوف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احتياجاتهم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التدريبية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والمهنية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وتوظيفها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والاستفادة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والرد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مناقضات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الجهاز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المركزي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للمحاسبات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ووزارة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والجامعة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يخص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والمشتريات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والمخازن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والمعامل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وكافة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تمكنه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الإشراف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الختامية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واقتراح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لجان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اجرد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الدورية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والسنوية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مخازن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قيادات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وكليات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وادارات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الجامعة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وتبادل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الآراء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وعرض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المقترحات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والتوصيات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لنجاح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مشهود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بالكفاءة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والحزم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وسرعة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البت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وتجنب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الاندفاع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والتهور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المواظبة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والانتظام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ليكون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قدوة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لمرءوسيه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الممارسات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والمناقصات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وتطبيق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اللوائح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وإعداد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المذكرات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اللجان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التحضير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لمجلس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ومجالس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الأقسام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القرارات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والتوصيات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الناشئة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التطور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المستمر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لتبسيط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إجراءات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واضحة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ومتميزة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تنمية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موارد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الدائم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عميد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لتلقي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التعليمات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والتوجيه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2-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شئون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العميد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0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الأولي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ويفضل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وظائف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التنمية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31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بفهم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ومراجعة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الموضوعات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تتضمنها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المكاتبات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الواردة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لمكتب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عميد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بشخصية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تتحمل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المسئولية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وقيمة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مكاتبات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سرية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وخاصة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وكيفية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عرضها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المناسب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توزيع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المكاتبات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الادارات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ومتابعة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جاء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بتا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يتمتع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بحسن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الخلق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والكياسة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والتنظيم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الجيد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لإجراءات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المقابلات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والاجتماعات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35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والمعاونين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وتوزيع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التحليل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ودراسة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الموضوعات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المكلف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بتا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اجتيازه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مناسب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الدورات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التدريبية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حرفية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الأداء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التفاعل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مرؤوسيه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بروح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الفريق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3-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شئون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الأولي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ويفضل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وظائف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والمتميزة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تحمل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المسئولية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نظم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قيد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وتسجيل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ودراسة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شئون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ووضع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الجداول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للمحاضرات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والتعاون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أعضاء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الامتحانات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والنتائج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وإعلانها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المناسب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التوجيه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والإشراف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مرؤوسيه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الارتقاء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بأدائهم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الدائم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لشئون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بالجامعة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تبادل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الآراء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وتلقي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التعليمات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والتوجيهات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التحليل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والتخطيط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وإبداء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الاقتراحات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بتحسين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شئون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الدائم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القيادات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والمرؤوسين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وكليات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الجامعة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وإداراتها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وتحديد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دوري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وسنوي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تدريب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تكنولوجي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متخصص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.........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وخلافة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لرفع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مستوي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داره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يتصف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بالحيادية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والدقة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التقارير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الدورية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والسنوية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45">
      <w:pPr>
        <w:bidi w:val="1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4-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رعاية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الأولي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وظائف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تربية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رياضية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اجتماعية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–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آداب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).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والكفاءة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القيادات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المباشرة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لرسم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الثقافية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والفنية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والرياضية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والاجتماعية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بينها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وبين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الجامعة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النزعة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التنافسية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ونقلها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مرؤوسيه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باللجان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وخلق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روح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الانتصار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بينهم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التخطيط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لوضع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الخطط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فنيات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مجموعات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وطلبة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والجامعة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لتحقيق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الأهداف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المطلوبة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مراقبة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التعليمات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الصادرة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الأجهزة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المختصة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رعاية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الشباب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بالدولة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وكدا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المنظمات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الدولية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خلق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جو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التفاهم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فكر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ورؤية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صائبة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مناسب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اجتياز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الدورات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التدريبية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5-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شئون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الأولي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وظائف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التنمية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تخصصه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شئون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شئون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أعضاء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وكافة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باحتساب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الأجور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والمكافآت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بأنواعها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وإمساك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سجلاتها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والكفاءة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التقارير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الدورية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والسنوية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وعرضها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أمين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أحكام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القانون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وفهم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اللوائح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والفتاوى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والأحكام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والمنشورات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والقرارات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وأعضاء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التوجيه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الدائم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ورفع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مستوي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أداءهم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المذكرات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بمجالات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وأعضاء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لعرضها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المسئولين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لاتخاذ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القرارات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6-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والموازنة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يقل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الأولي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لوظائف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والمحاسبة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موازنة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وإعداد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الحساب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الختامي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ومراجعة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استمارات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الصرف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وإمساك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الدفاتر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المحاسبية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المعمول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بتا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الدراية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أحكام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واللوائح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المعمول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بتا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والموازنة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الباب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والثاني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والمعاشات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وكافة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أنواع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المكافآت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الإعانات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مراجعة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كشوف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البنوك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والتسويات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الحسابية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للمصروفات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والحسابات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الجارية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لعمليات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إمساك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السجلات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لإثبات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العمليات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المتابعة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ورقابة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والدراية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التقارير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الشهرية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والدورية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وتحليلها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اجتيازه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لقدر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مناسب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التدريب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التخصصي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ومواكبة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التطور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دورات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الحاسب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الآلي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رؤية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جيدة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لحفظ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المستندات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وعمل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الأضابير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واقع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المستندات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مراجعتها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لسهولة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طلبها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للجهات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الرقابية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للفحص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بفنيات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منصبة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لاتصاله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المباشر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بأمين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لتلقي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التعليمات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والتوجيهات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وتقديم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المقترحات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التنسيق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مديري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الإدارات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المتابعة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والأشراف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والتوجيه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للعاملين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معه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والاتصال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الدائم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بإدارة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الموازنة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بالجامعة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spacing w:after="0" w:lineRule="auto"/>
        <w:ind w:left="660" w:hanging="36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والرد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المناقضات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الأجهزة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الرقابية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بالجامعة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والدولة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line="240" w:lineRule="auto"/>
        <w:ind w:right="-85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107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tabs>
        <w:tab w:val="left" w:leader="none" w:pos="3642"/>
        <w:tab w:val="left" w:leader="none" w:pos="4085"/>
        <w:tab w:val="right" w:leader="none" w:pos="8306"/>
      </w:tabs>
      <w:bidi w:val="1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-721359</wp:posOffset>
          </wp:positionH>
          <wp:positionV relativeFrom="paragraph">
            <wp:posOffset>-306069</wp:posOffset>
          </wp:positionV>
          <wp:extent cx="1156970" cy="59753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6970" cy="5975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1988185</wp:posOffset>
          </wp:positionH>
          <wp:positionV relativeFrom="paragraph">
            <wp:posOffset>-244474</wp:posOffset>
          </wp:positionV>
          <wp:extent cx="1083945" cy="6413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3945" cy="641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-306069</wp:posOffset>
          </wp:positionV>
          <wp:extent cx="1186815" cy="702945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2382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702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6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